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C3B50A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E041C9">
        <w:rPr>
          <w:rFonts w:cs="Arial"/>
          <w:sz w:val="24"/>
          <w:szCs w:val="24"/>
        </w:rPr>
        <w:t>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EC022D">
        <w:rPr>
          <w:rFonts w:cs="Arial"/>
          <w:color w:val="000000"/>
          <w:sz w:val="24"/>
          <w:szCs w:val="24"/>
        </w:rPr>
        <w:t>1815875</w:t>
      </w:r>
    </w:p>
    <w:p w14:paraId="2700B07E" w14:textId="213FF1F7" w:rsidR="003175E3" w:rsidRPr="008C4D7E" w:rsidRDefault="00E041C9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12</w:t>
      </w:r>
      <w:r>
        <w:rPr>
          <w:rFonts w:eastAsia="SimSun"/>
          <w:sz w:val="24"/>
          <w:szCs w:val="24"/>
          <w:vertAlign w:val="superscript"/>
          <w:lang w:eastAsia="zh-CN"/>
        </w:rPr>
        <w:t>t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 w:rsidR="00B1447F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6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Nov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6FE6D1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A4161">
        <w:rPr>
          <w:rFonts w:ascii="Arial" w:hAnsi="Arial"/>
          <w:sz w:val="24"/>
          <w:lang w:val="en-US"/>
        </w:rPr>
        <w:t>6.4.4.1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833127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54DC6">
        <w:rPr>
          <w:rFonts w:ascii="Arial" w:hAnsi="Arial"/>
          <w:sz w:val="24"/>
          <w:lang w:val="en-US"/>
        </w:rPr>
        <w:t xml:space="preserve">On </w:t>
      </w:r>
      <w:r w:rsidR="00BC4D21">
        <w:rPr>
          <w:rFonts w:ascii="Arial" w:hAnsi="Arial"/>
          <w:sz w:val="24"/>
          <w:lang w:val="en-US"/>
        </w:rPr>
        <w:t xml:space="preserve">simulation assumption for Rel-15 </w:t>
      </w:r>
      <w:r w:rsidR="00AD7813">
        <w:rPr>
          <w:rFonts w:ascii="Arial" w:hAnsi="Arial"/>
          <w:sz w:val="24"/>
          <w:lang w:val="en-US"/>
        </w:rPr>
        <w:t>NB-IoT</w:t>
      </w:r>
      <w:r w:rsidR="00BC4D21">
        <w:rPr>
          <w:rFonts w:ascii="Arial" w:hAnsi="Arial"/>
          <w:sz w:val="24"/>
          <w:lang w:val="en-US"/>
        </w:rPr>
        <w:t xml:space="preserve"> WUS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DFBC6A0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EFFCA6F" w14:textId="05BB754F" w:rsidR="00BC4D21" w:rsidRPr="00BC4D21" w:rsidRDefault="00BC4D21" w:rsidP="00BC4D21">
      <w:pPr>
        <w:rPr>
          <w:lang w:val="en-US"/>
        </w:rPr>
      </w:pPr>
      <w:r>
        <w:rPr>
          <w:lang w:val="en-US"/>
        </w:rPr>
        <w:t>In the previous RAN4#88</w:t>
      </w:r>
      <w:r w:rsidR="008E51A3">
        <w:rPr>
          <w:lang w:val="en-US"/>
        </w:rPr>
        <w:t xml:space="preserve"> and #88</w:t>
      </w:r>
      <w:r>
        <w:rPr>
          <w:lang w:val="en-US"/>
        </w:rPr>
        <w:t xml:space="preserve">bis meeting, simulation assumption for Rel-15 </w:t>
      </w:r>
      <w:r w:rsidR="00574513">
        <w:rPr>
          <w:lang w:val="en-US"/>
        </w:rPr>
        <w:t>NB-IoT</w:t>
      </w:r>
      <w:r>
        <w:rPr>
          <w:lang w:val="en-US"/>
        </w:rPr>
        <w:t xml:space="preserve"> WUS were discussed</w:t>
      </w:r>
      <w:r w:rsidR="00E60109">
        <w:rPr>
          <w:lang w:val="en-US"/>
        </w:rPr>
        <w:t xml:space="preserve"> [1]</w:t>
      </w:r>
      <w:r w:rsidR="00656951">
        <w:rPr>
          <w:lang w:val="en-US"/>
        </w:rPr>
        <w:t>[2]</w:t>
      </w:r>
      <w:r>
        <w:rPr>
          <w:lang w:val="en-US"/>
        </w:rPr>
        <w:t xml:space="preserve">. In this paper, </w:t>
      </w:r>
      <w:r w:rsidR="00E60109">
        <w:rPr>
          <w:lang w:val="en-US"/>
        </w:rPr>
        <w:t xml:space="preserve">we discuss the simulation assumption and present </w:t>
      </w:r>
      <w:r w:rsidR="008E51A3">
        <w:rPr>
          <w:lang w:val="en-US"/>
        </w:rPr>
        <w:t xml:space="preserve">a preliminary </w:t>
      </w:r>
      <w:r w:rsidR="00E60109">
        <w:rPr>
          <w:lang w:val="en-US"/>
        </w:rPr>
        <w:t>simulation result</w:t>
      </w:r>
      <w:r>
        <w:rPr>
          <w:lang w:val="en-US"/>
        </w:rPr>
        <w:t xml:space="preserve">. </w:t>
      </w:r>
    </w:p>
    <w:p w14:paraId="2B5DFDAE" w14:textId="6C5DDBF6" w:rsidR="007C61D6" w:rsidRDefault="008321ED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7CC5D95" w14:textId="2CA0C4BC" w:rsidR="00BC4D21" w:rsidRDefault="00C4646C" w:rsidP="00BC4D21">
      <w:pPr>
        <w:rPr>
          <w:lang w:val="en-US"/>
        </w:rPr>
      </w:pPr>
      <w:r>
        <w:rPr>
          <w:lang w:val="en-US"/>
        </w:rPr>
        <w:t xml:space="preserve">The following table summarizes </w:t>
      </w:r>
      <w:r w:rsidR="00E60109">
        <w:rPr>
          <w:lang w:val="en-US"/>
        </w:rPr>
        <w:t>the simulation assumptions proposed in [</w:t>
      </w:r>
      <w:r w:rsidR="0004385D">
        <w:rPr>
          <w:lang w:val="en-US"/>
        </w:rPr>
        <w:t>1</w:t>
      </w:r>
      <w:r w:rsidR="00E60109">
        <w:rPr>
          <w:lang w:val="en-US"/>
        </w:rPr>
        <w:t>].</w:t>
      </w:r>
    </w:p>
    <w:p w14:paraId="7A07D840" w14:textId="733072AA" w:rsidR="00AB7135" w:rsidRDefault="00AB7135" w:rsidP="00AB713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A710C">
        <w:rPr>
          <w:noProof/>
        </w:rPr>
        <w:t>1</w:t>
      </w:r>
      <w:r>
        <w:fldChar w:fldCharType="end"/>
      </w:r>
      <w:r>
        <w:t xml:space="preserve"> </w:t>
      </w:r>
      <w:r w:rsidR="00C000A8">
        <w:t>Simulation assumption for WUS performance requirement in NB-IoT [</w:t>
      </w:r>
      <w:r w:rsidR="008E51A3">
        <w:t>1</w:t>
      </w:r>
      <w:r w:rsidR="00C000A8"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4013"/>
      </w:tblGrid>
      <w:tr w:rsidR="00E60109" w14:paraId="34E810E6" w14:textId="77777777" w:rsidTr="00E60109">
        <w:trPr>
          <w:jc w:val="center"/>
        </w:trPr>
        <w:tc>
          <w:tcPr>
            <w:tcW w:w="1472" w:type="dxa"/>
            <w:vAlign w:val="center"/>
          </w:tcPr>
          <w:p w14:paraId="2AD4F75C" w14:textId="3A2EEE4B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013" w:type="dxa"/>
            <w:vAlign w:val="center"/>
          </w:tcPr>
          <w:p w14:paraId="472242E9" w14:textId="2D3418A3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E60109" w14:paraId="56A8C7B9" w14:textId="77777777" w:rsidTr="00E60109">
        <w:trPr>
          <w:jc w:val="center"/>
        </w:trPr>
        <w:tc>
          <w:tcPr>
            <w:tcW w:w="1472" w:type="dxa"/>
            <w:vAlign w:val="center"/>
          </w:tcPr>
          <w:p w14:paraId="45DD26CA" w14:textId="0C945E2B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BS Tx ant configuration</w:t>
            </w:r>
          </w:p>
        </w:tc>
        <w:tc>
          <w:tcPr>
            <w:tcW w:w="4013" w:type="dxa"/>
            <w:vAlign w:val="center"/>
          </w:tcPr>
          <w:p w14:paraId="5025E80D" w14:textId="64E824C8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 xml:space="preserve">1 Tx, 2Tx with Tx diversity, </w:t>
            </w:r>
            <w:proofErr w:type="spellStart"/>
            <w:proofErr w:type="gramStart"/>
            <w:r>
              <w:rPr>
                <w:lang w:val="en-US"/>
              </w:rPr>
              <w:t>Note:TxD</w:t>
            </w:r>
            <w:proofErr w:type="spellEnd"/>
            <w:proofErr w:type="gramEnd"/>
            <w:r>
              <w:rPr>
                <w:lang w:val="en-US"/>
              </w:rPr>
              <w:t xml:space="preserve"> scheme will depend on RAN1 agreement</w:t>
            </w:r>
          </w:p>
        </w:tc>
      </w:tr>
      <w:tr w:rsidR="00E60109" w14:paraId="24D41D39" w14:textId="77777777" w:rsidTr="00E60109">
        <w:trPr>
          <w:jc w:val="center"/>
        </w:trPr>
        <w:tc>
          <w:tcPr>
            <w:tcW w:w="1472" w:type="dxa"/>
            <w:vAlign w:val="center"/>
          </w:tcPr>
          <w:p w14:paraId="2402DCC6" w14:textId="3001AF6B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UE Rx ant configuration</w:t>
            </w:r>
          </w:p>
        </w:tc>
        <w:tc>
          <w:tcPr>
            <w:tcW w:w="4013" w:type="dxa"/>
            <w:vAlign w:val="center"/>
          </w:tcPr>
          <w:p w14:paraId="1CDC663B" w14:textId="5A113793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1 Rx</w:t>
            </w:r>
          </w:p>
        </w:tc>
      </w:tr>
      <w:tr w:rsidR="00E60109" w14:paraId="55474C74" w14:textId="77777777" w:rsidTr="00E60109">
        <w:trPr>
          <w:jc w:val="center"/>
        </w:trPr>
        <w:tc>
          <w:tcPr>
            <w:tcW w:w="1472" w:type="dxa"/>
            <w:vAlign w:val="center"/>
          </w:tcPr>
          <w:p w14:paraId="7871E4B4" w14:textId="4315F087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WUS BW</w:t>
            </w:r>
          </w:p>
        </w:tc>
        <w:tc>
          <w:tcPr>
            <w:tcW w:w="4013" w:type="dxa"/>
            <w:vAlign w:val="center"/>
          </w:tcPr>
          <w:p w14:paraId="445FB4CB" w14:textId="30FEE73E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180 kHz</w:t>
            </w:r>
          </w:p>
        </w:tc>
      </w:tr>
      <w:tr w:rsidR="00E60109" w14:paraId="7E41584B" w14:textId="77777777" w:rsidTr="00E60109">
        <w:trPr>
          <w:jc w:val="center"/>
        </w:trPr>
        <w:tc>
          <w:tcPr>
            <w:tcW w:w="1472" w:type="dxa"/>
            <w:vAlign w:val="center"/>
          </w:tcPr>
          <w:p w14:paraId="4006FCFB" w14:textId="46313312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4013" w:type="dxa"/>
            <w:vAlign w:val="center"/>
          </w:tcPr>
          <w:p w14:paraId="6723F6E2" w14:textId="6CAD5DF9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EPA 1Hz, ETU 1Hz</w:t>
            </w:r>
          </w:p>
        </w:tc>
      </w:tr>
      <w:tr w:rsidR="00E60109" w14:paraId="6BE3F45C" w14:textId="77777777" w:rsidTr="00E60109">
        <w:trPr>
          <w:jc w:val="center"/>
        </w:trPr>
        <w:tc>
          <w:tcPr>
            <w:tcW w:w="1472" w:type="dxa"/>
            <w:vAlign w:val="center"/>
          </w:tcPr>
          <w:p w14:paraId="55EED310" w14:textId="68C22A89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</w:tc>
        <w:tc>
          <w:tcPr>
            <w:tcW w:w="4013" w:type="dxa"/>
            <w:vAlign w:val="center"/>
          </w:tcPr>
          <w:p w14:paraId="4623F111" w14:textId="42A25E2D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 xml:space="preserve">-6 dB, </w:t>
            </w:r>
            <w:r w:rsidRPr="005F72CE">
              <w:rPr>
                <w:highlight w:val="yellow"/>
                <w:lang w:val="en-US"/>
              </w:rPr>
              <w:t>-15</w:t>
            </w:r>
            <w:r>
              <w:rPr>
                <w:lang w:val="en-US"/>
              </w:rPr>
              <w:t xml:space="preserve"> dB</w:t>
            </w:r>
          </w:p>
        </w:tc>
      </w:tr>
      <w:tr w:rsidR="00E60109" w14:paraId="6DC953C3" w14:textId="77777777" w:rsidTr="00E60109">
        <w:trPr>
          <w:jc w:val="center"/>
        </w:trPr>
        <w:tc>
          <w:tcPr>
            <w:tcW w:w="1472" w:type="dxa"/>
            <w:vAlign w:val="center"/>
          </w:tcPr>
          <w:p w14:paraId="3F25BE54" w14:textId="5D5E6881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False alarm rate</w:t>
            </w:r>
          </w:p>
        </w:tc>
        <w:tc>
          <w:tcPr>
            <w:tcW w:w="4013" w:type="dxa"/>
            <w:vAlign w:val="center"/>
          </w:tcPr>
          <w:p w14:paraId="260375C2" w14:textId="56354D54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1%</w:t>
            </w:r>
          </w:p>
        </w:tc>
      </w:tr>
      <w:tr w:rsidR="00E60109" w14:paraId="5E40D619" w14:textId="77777777" w:rsidTr="00E60109">
        <w:trPr>
          <w:jc w:val="center"/>
        </w:trPr>
        <w:tc>
          <w:tcPr>
            <w:tcW w:w="1472" w:type="dxa"/>
            <w:vAlign w:val="center"/>
          </w:tcPr>
          <w:p w14:paraId="59A2B0E9" w14:textId="010982DC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Detection probability</w:t>
            </w:r>
          </w:p>
        </w:tc>
        <w:tc>
          <w:tcPr>
            <w:tcW w:w="4013" w:type="dxa"/>
            <w:vAlign w:val="center"/>
          </w:tcPr>
          <w:p w14:paraId="5169ADE4" w14:textId="253E973F" w:rsidR="00E60109" w:rsidRDefault="00E60109" w:rsidP="00BC4D21">
            <w:pPr>
              <w:rPr>
                <w:lang w:val="en-US"/>
              </w:rPr>
            </w:pPr>
            <w:r>
              <w:rPr>
                <w:lang w:val="en-US"/>
              </w:rPr>
              <w:t>99%</w:t>
            </w:r>
          </w:p>
        </w:tc>
      </w:tr>
    </w:tbl>
    <w:p w14:paraId="6076A4FB" w14:textId="77777777" w:rsidR="00C4646C" w:rsidRDefault="00C4646C" w:rsidP="00BC4D21">
      <w:pPr>
        <w:rPr>
          <w:lang w:val="en-US"/>
        </w:rPr>
      </w:pPr>
    </w:p>
    <w:p w14:paraId="13160380" w14:textId="77777777" w:rsidR="008A0D5F" w:rsidRDefault="00E60109" w:rsidP="00BC4D21">
      <w:pPr>
        <w:rPr>
          <w:lang w:val="en-US"/>
        </w:rPr>
      </w:pPr>
      <w:r>
        <w:rPr>
          <w:lang w:val="en-US"/>
        </w:rPr>
        <w:t xml:space="preserve">For enhanced coverage point, the selected SNR is -15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However, with fading channel models EPA 1Hz and ETU 1Hz, UE experiences deep fades </w:t>
      </w:r>
      <w:r w:rsidR="00D91E03">
        <w:rPr>
          <w:lang w:val="en-US"/>
        </w:rPr>
        <w:t xml:space="preserve">with effective SNR significantly below -15 dB </w:t>
      </w:r>
      <w:r w:rsidR="008A0D5F">
        <w:rPr>
          <w:lang w:val="en-US"/>
        </w:rPr>
        <w:t xml:space="preserve">and reaching ~ -20 dB where UE’s </w:t>
      </w:r>
      <w:proofErr w:type="spellStart"/>
      <w:r w:rsidR="008A0D5F">
        <w:rPr>
          <w:lang w:val="en-US"/>
        </w:rPr>
        <w:t>datapath</w:t>
      </w:r>
      <w:proofErr w:type="spellEnd"/>
      <w:r w:rsidR="008A0D5F">
        <w:rPr>
          <w:lang w:val="en-US"/>
        </w:rPr>
        <w:t xml:space="preserve"> and tracking loops may not properly function. We propose to use SNR of -12 dB for the enhanced coverage point with the channel models in Table 1.</w:t>
      </w:r>
    </w:p>
    <w:p w14:paraId="4CDBCF63" w14:textId="34AFD08A" w:rsidR="00551F36" w:rsidRDefault="008A0D5F" w:rsidP="00BC4D21">
      <w:pPr>
        <w:rPr>
          <w:b/>
          <w:lang w:val="en-US"/>
        </w:rPr>
      </w:pPr>
      <w:r>
        <w:rPr>
          <w:b/>
          <w:lang w:val="en-US"/>
        </w:rPr>
        <w:t xml:space="preserve">Proposal 1. Use SNR -12 dB instead of -15 dB for </w:t>
      </w:r>
      <w:r w:rsidR="00C000A8">
        <w:rPr>
          <w:b/>
          <w:lang w:val="en-US"/>
        </w:rPr>
        <w:t>the simulation assumption for the enhanced coverage in</w:t>
      </w:r>
      <w:r w:rsidR="0004385D">
        <w:rPr>
          <w:b/>
          <w:lang w:val="en-US"/>
        </w:rPr>
        <w:t xml:space="preserve"> </w:t>
      </w:r>
      <w:r>
        <w:rPr>
          <w:b/>
          <w:lang w:val="en-US"/>
        </w:rPr>
        <w:t xml:space="preserve">EPA 1Hz and ETU 1Hz. </w:t>
      </w:r>
    </w:p>
    <w:p w14:paraId="467CCFA1" w14:textId="3B48DE31" w:rsidR="00C3357F" w:rsidRDefault="008E51A3" w:rsidP="00C3357F">
      <w:pPr>
        <w:rPr>
          <w:lang w:val="en-US"/>
        </w:rPr>
      </w:pPr>
      <w:r>
        <w:rPr>
          <w:lang w:val="en-US"/>
        </w:rPr>
        <w:t xml:space="preserve">In the last RAN4 #88bis meeting, additional simulation assumption for the frequency and timing drift was discussed. </w:t>
      </w:r>
      <w:r w:rsidR="00BD3389">
        <w:rPr>
          <w:lang w:val="en-US"/>
        </w:rPr>
        <w:t xml:space="preserve">The proposed </w:t>
      </w:r>
      <w:r w:rsidR="005F72CE">
        <w:rPr>
          <w:lang w:val="en-US"/>
        </w:rPr>
        <w:t>frequency and timing drifts from [</w:t>
      </w:r>
      <w:r w:rsidR="00656951">
        <w:rPr>
          <w:lang w:val="en-US"/>
        </w:rPr>
        <w:t>2</w:t>
      </w:r>
      <w:r w:rsidR="005F72CE">
        <w:rPr>
          <w:lang w:val="en-US"/>
        </w:rPr>
        <w:t xml:space="preserve">] is shown in Table 2. </w:t>
      </w:r>
      <w:r w:rsidR="00C3357F">
        <w:rPr>
          <w:lang w:val="en-US"/>
        </w:rPr>
        <w:t xml:space="preserve">Here, a 45 Hz per second frequency drift is assumed. The frequency drift of 45 Hz corresponds to 0.05 ppm if the carrier frequency is assumed to be 900 </w:t>
      </w:r>
      <w:proofErr w:type="spellStart"/>
      <w:r w:rsidR="00C3357F">
        <w:rPr>
          <w:lang w:val="en-US"/>
        </w:rPr>
        <w:t>MHz.</w:t>
      </w:r>
      <w:proofErr w:type="spellEnd"/>
      <w:r w:rsidR="00C3357F">
        <w:rPr>
          <w:lang w:val="en-US"/>
        </w:rPr>
        <w:t xml:space="preserve"> The 0.05 ppm assumption is in line with agreed RAN1 model [</w:t>
      </w:r>
      <w:r w:rsidR="00656951">
        <w:rPr>
          <w:lang w:val="en-US"/>
        </w:rPr>
        <w:t>3</w:t>
      </w:r>
      <w:r w:rsidR="00C3357F">
        <w:rPr>
          <w:lang w:val="en-US"/>
        </w:rPr>
        <w:t xml:space="preserve">]. </w:t>
      </w:r>
    </w:p>
    <w:p w14:paraId="0DB91A69" w14:textId="7A2BF769" w:rsidR="00E92DD3" w:rsidRDefault="00E92DD3" w:rsidP="00E92DD3">
      <w:pPr>
        <w:pStyle w:val="Caption"/>
        <w:keepNext/>
        <w:jc w:val="center"/>
      </w:pPr>
      <w:r>
        <w:lastRenderedPageBreak/>
        <w:t xml:space="preserve">Table 2 Frequency/time drifts based on </w:t>
      </w:r>
      <w:r w:rsidR="00915580">
        <w:t>carrier frequency of 900 MHz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016"/>
        <w:gridCol w:w="1705"/>
      </w:tblGrid>
      <w:tr w:rsidR="00E92DD3" w14:paraId="4940B89A" w14:textId="77777777" w:rsidTr="00FA7ECA">
        <w:trPr>
          <w:jc w:val="center"/>
        </w:trPr>
        <w:tc>
          <w:tcPr>
            <w:tcW w:w="1472" w:type="dxa"/>
            <w:vAlign w:val="center"/>
          </w:tcPr>
          <w:p w14:paraId="1136F389" w14:textId="77777777" w:rsidR="00E92DD3" w:rsidRDefault="00E92DD3" w:rsidP="00FA7ECA">
            <w:pPr>
              <w:rPr>
                <w:lang w:val="en-US"/>
              </w:rPr>
            </w:pPr>
            <w:r>
              <w:rPr>
                <w:lang w:val="en-US"/>
              </w:rPr>
              <w:t>DRX cycle (s)</w:t>
            </w:r>
          </w:p>
        </w:tc>
        <w:tc>
          <w:tcPr>
            <w:tcW w:w="2016" w:type="dxa"/>
            <w:vAlign w:val="center"/>
          </w:tcPr>
          <w:p w14:paraId="04297A88" w14:textId="77777777" w:rsidR="00E92DD3" w:rsidRDefault="00E92DD3" w:rsidP="00FA7ECA">
            <w:pPr>
              <w:rPr>
                <w:lang w:val="en-US"/>
              </w:rPr>
            </w:pPr>
            <w:r>
              <w:rPr>
                <w:lang w:val="en-US"/>
              </w:rPr>
              <w:t>Frequency Drift [Hz]</w:t>
            </w:r>
          </w:p>
        </w:tc>
        <w:tc>
          <w:tcPr>
            <w:tcW w:w="1705" w:type="dxa"/>
            <w:vAlign w:val="center"/>
          </w:tcPr>
          <w:p w14:paraId="464E69E1" w14:textId="5885BAAF" w:rsidR="00E92DD3" w:rsidRDefault="00E92DD3" w:rsidP="00FA7ECA">
            <w:pPr>
              <w:rPr>
                <w:lang w:val="en-US"/>
              </w:rPr>
            </w:pPr>
            <w:r>
              <w:rPr>
                <w:lang w:val="en-US"/>
              </w:rPr>
              <w:t>Timing Drift [s]</w:t>
            </w:r>
          </w:p>
        </w:tc>
      </w:tr>
      <w:tr w:rsidR="00E92DD3" w14:paraId="2715A07E" w14:textId="77777777" w:rsidTr="00FA7ECA">
        <w:trPr>
          <w:jc w:val="center"/>
        </w:trPr>
        <w:tc>
          <w:tcPr>
            <w:tcW w:w="1472" w:type="dxa"/>
            <w:vAlign w:val="center"/>
          </w:tcPr>
          <w:p w14:paraId="52F6B9F2" w14:textId="65157E4C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2016" w:type="dxa"/>
            <w:vAlign w:val="center"/>
          </w:tcPr>
          <w:p w14:paraId="5E485620" w14:textId="736DCE46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57.6</w:t>
            </w:r>
          </w:p>
        </w:tc>
        <w:tc>
          <w:tcPr>
            <w:tcW w:w="1705" w:type="dxa"/>
            <w:vAlign w:val="center"/>
          </w:tcPr>
          <w:p w14:paraId="181CE1F8" w14:textId="601451FD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4.0960e-08</w:t>
            </w:r>
          </w:p>
        </w:tc>
      </w:tr>
      <w:tr w:rsidR="00E92DD3" w14:paraId="110AB40C" w14:textId="77777777" w:rsidTr="00FA7ECA">
        <w:trPr>
          <w:jc w:val="center"/>
        </w:trPr>
        <w:tc>
          <w:tcPr>
            <w:tcW w:w="1472" w:type="dxa"/>
            <w:vAlign w:val="center"/>
          </w:tcPr>
          <w:p w14:paraId="03BABA80" w14:textId="5A40F1CA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2016" w:type="dxa"/>
            <w:vAlign w:val="center"/>
          </w:tcPr>
          <w:p w14:paraId="2D9160DF" w14:textId="4AC73D41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115.2</w:t>
            </w:r>
          </w:p>
        </w:tc>
        <w:tc>
          <w:tcPr>
            <w:tcW w:w="1705" w:type="dxa"/>
            <w:vAlign w:val="center"/>
          </w:tcPr>
          <w:p w14:paraId="3D3E1079" w14:textId="5AF7A6A9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1.6348e-07</w:t>
            </w:r>
          </w:p>
        </w:tc>
      </w:tr>
      <w:tr w:rsidR="00E92DD3" w14:paraId="2C791446" w14:textId="77777777" w:rsidTr="00FA7ECA">
        <w:trPr>
          <w:jc w:val="center"/>
        </w:trPr>
        <w:tc>
          <w:tcPr>
            <w:tcW w:w="1472" w:type="dxa"/>
            <w:vAlign w:val="center"/>
          </w:tcPr>
          <w:p w14:paraId="62A9EBC7" w14:textId="4B3D2819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2016" w:type="dxa"/>
            <w:vAlign w:val="center"/>
          </w:tcPr>
          <w:p w14:paraId="2BC70CB5" w14:textId="618C9437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230.4</w:t>
            </w:r>
          </w:p>
        </w:tc>
        <w:tc>
          <w:tcPr>
            <w:tcW w:w="1705" w:type="dxa"/>
            <w:vAlign w:val="center"/>
          </w:tcPr>
          <w:p w14:paraId="0E3F4650" w14:textId="5E36A8A4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6.5536e-07</w:t>
            </w:r>
          </w:p>
        </w:tc>
      </w:tr>
      <w:tr w:rsidR="00E92DD3" w14:paraId="24AC81D0" w14:textId="77777777" w:rsidTr="00FA7ECA">
        <w:trPr>
          <w:jc w:val="center"/>
        </w:trPr>
        <w:tc>
          <w:tcPr>
            <w:tcW w:w="1472" w:type="dxa"/>
            <w:vAlign w:val="center"/>
          </w:tcPr>
          <w:p w14:paraId="3C0B9786" w14:textId="3CBF7C44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2016" w:type="dxa"/>
            <w:vAlign w:val="center"/>
          </w:tcPr>
          <w:p w14:paraId="23C0BE35" w14:textId="1C40F374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460.8</w:t>
            </w:r>
          </w:p>
        </w:tc>
        <w:tc>
          <w:tcPr>
            <w:tcW w:w="1705" w:type="dxa"/>
            <w:vAlign w:val="center"/>
          </w:tcPr>
          <w:p w14:paraId="344DB884" w14:textId="38F22D7F" w:rsidR="00E92DD3" w:rsidRDefault="00C3357F" w:rsidP="00FA7ECA">
            <w:pPr>
              <w:rPr>
                <w:lang w:val="en-US"/>
              </w:rPr>
            </w:pPr>
            <w:r>
              <w:rPr>
                <w:lang w:val="en-US"/>
              </w:rPr>
              <w:t>2.6212e-06</w:t>
            </w:r>
          </w:p>
        </w:tc>
      </w:tr>
    </w:tbl>
    <w:p w14:paraId="38C09870" w14:textId="201BAFFB" w:rsidR="000B6B06" w:rsidRDefault="000B6B06" w:rsidP="00E92DD3">
      <w:pPr>
        <w:rPr>
          <w:lang w:val="en-US"/>
        </w:rPr>
      </w:pPr>
    </w:p>
    <w:p w14:paraId="28D3E5DA" w14:textId="7580E3DA" w:rsidR="00915580" w:rsidRDefault="00BB17F6" w:rsidP="00BC4D21">
      <w:pPr>
        <w:rPr>
          <w:lang w:val="en-US"/>
        </w:rPr>
      </w:pPr>
      <w:r>
        <w:rPr>
          <w:lang w:val="en-US"/>
        </w:rPr>
        <w:t xml:space="preserve">However, according to TS36.101 </w:t>
      </w:r>
      <w:r w:rsidR="000B6B06">
        <w:rPr>
          <w:lang w:val="en-US"/>
        </w:rPr>
        <w:t xml:space="preserve">Section 5.5F, category NB1 and NB2 are designed to operate in band 1 and band 66 with </w:t>
      </w:r>
      <w:r w:rsidR="003E6C46">
        <w:rPr>
          <w:lang w:val="en-US"/>
        </w:rPr>
        <w:t xml:space="preserve">high end downlink carrier frequency of </w:t>
      </w:r>
      <w:r w:rsidR="000B6B06">
        <w:rPr>
          <w:lang w:val="en-US"/>
        </w:rPr>
        <w:t xml:space="preserve">2.2 GHz which results in higher frequency </w:t>
      </w:r>
      <w:r w:rsidR="003E6C46">
        <w:rPr>
          <w:lang w:val="en-US"/>
        </w:rPr>
        <w:t xml:space="preserve">drifts </w:t>
      </w:r>
      <w:r w:rsidR="000B6B06">
        <w:rPr>
          <w:lang w:val="en-US"/>
        </w:rPr>
        <w:t>compared to Table 2. Based on the methodology of [</w:t>
      </w:r>
      <w:r w:rsidR="00656951">
        <w:rPr>
          <w:lang w:val="en-US"/>
        </w:rPr>
        <w:t>3</w:t>
      </w:r>
      <w:r w:rsidR="000B6B06">
        <w:rPr>
          <w:lang w:val="en-US"/>
        </w:rPr>
        <w:t xml:space="preserve">], we propose Table 3 to be used for frequency/time drifts of NB-IoT WUS simulations </w:t>
      </w:r>
      <w:r w:rsidR="00915580">
        <w:rPr>
          <w:lang w:val="en-US"/>
        </w:rPr>
        <w:t xml:space="preserve">that is based on carrier frequency of 2.2 GHz. </w:t>
      </w:r>
    </w:p>
    <w:p w14:paraId="19C2B51B" w14:textId="7ED4F5DE" w:rsidR="00915580" w:rsidRDefault="00915580" w:rsidP="00915580">
      <w:pPr>
        <w:pStyle w:val="Caption"/>
        <w:keepNext/>
        <w:jc w:val="center"/>
      </w:pPr>
      <w:r>
        <w:t>Table 3 Frequency/time drifts based on carrier frequency of 2.2 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016"/>
        <w:gridCol w:w="1705"/>
      </w:tblGrid>
      <w:tr w:rsidR="00915580" w14:paraId="152C3D11" w14:textId="77777777" w:rsidTr="00FA7ECA">
        <w:trPr>
          <w:jc w:val="center"/>
        </w:trPr>
        <w:tc>
          <w:tcPr>
            <w:tcW w:w="1472" w:type="dxa"/>
            <w:vAlign w:val="center"/>
          </w:tcPr>
          <w:p w14:paraId="5DAA94F7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DRX cycle (s)</w:t>
            </w:r>
          </w:p>
        </w:tc>
        <w:tc>
          <w:tcPr>
            <w:tcW w:w="2016" w:type="dxa"/>
            <w:vAlign w:val="center"/>
          </w:tcPr>
          <w:p w14:paraId="74219E7F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Frequency Drift [Hz]</w:t>
            </w:r>
          </w:p>
        </w:tc>
        <w:tc>
          <w:tcPr>
            <w:tcW w:w="1705" w:type="dxa"/>
            <w:vAlign w:val="center"/>
          </w:tcPr>
          <w:p w14:paraId="48CA5503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Timing Drift [s]</w:t>
            </w:r>
          </w:p>
        </w:tc>
      </w:tr>
      <w:tr w:rsidR="00915580" w14:paraId="6F8A808A" w14:textId="77777777" w:rsidTr="00FA7ECA">
        <w:trPr>
          <w:jc w:val="center"/>
        </w:trPr>
        <w:tc>
          <w:tcPr>
            <w:tcW w:w="1472" w:type="dxa"/>
            <w:vAlign w:val="center"/>
          </w:tcPr>
          <w:p w14:paraId="5D2F7B02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2016" w:type="dxa"/>
            <w:vAlign w:val="center"/>
          </w:tcPr>
          <w:p w14:paraId="018EE0A9" w14:textId="1B805CFA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140.8</w:t>
            </w:r>
          </w:p>
        </w:tc>
        <w:tc>
          <w:tcPr>
            <w:tcW w:w="1705" w:type="dxa"/>
            <w:vAlign w:val="center"/>
          </w:tcPr>
          <w:p w14:paraId="614D5A35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4.0960e-08</w:t>
            </w:r>
          </w:p>
        </w:tc>
      </w:tr>
      <w:tr w:rsidR="00915580" w14:paraId="6F82232D" w14:textId="77777777" w:rsidTr="00FA7ECA">
        <w:trPr>
          <w:jc w:val="center"/>
        </w:trPr>
        <w:tc>
          <w:tcPr>
            <w:tcW w:w="1472" w:type="dxa"/>
            <w:vAlign w:val="center"/>
          </w:tcPr>
          <w:p w14:paraId="2F7218E8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2016" w:type="dxa"/>
            <w:vAlign w:val="center"/>
          </w:tcPr>
          <w:p w14:paraId="47324FFA" w14:textId="33A60231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281.6</w:t>
            </w:r>
          </w:p>
        </w:tc>
        <w:tc>
          <w:tcPr>
            <w:tcW w:w="1705" w:type="dxa"/>
            <w:vAlign w:val="center"/>
          </w:tcPr>
          <w:p w14:paraId="7032FF89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1.6348e-07</w:t>
            </w:r>
          </w:p>
        </w:tc>
      </w:tr>
      <w:tr w:rsidR="00915580" w14:paraId="7CC1AE91" w14:textId="77777777" w:rsidTr="00FA7ECA">
        <w:trPr>
          <w:jc w:val="center"/>
        </w:trPr>
        <w:tc>
          <w:tcPr>
            <w:tcW w:w="1472" w:type="dxa"/>
            <w:vAlign w:val="center"/>
          </w:tcPr>
          <w:p w14:paraId="6E8C71A7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2016" w:type="dxa"/>
            <w:vAlign w:val="center"/>
          </w:tcPr>
          <w:p w14:paraId="1CF0FAB2" w14:textId="274DD85D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563.2</w:t>
            </w:r>
          </w:p>
        </w:tc>
        <w:tc>
          <w:tcPr>
            <w:tcW w:w="1705" w:type="dxa"/>
            <w:vAlign w:val="center"/>
          </w:tcPr>
          <w:p w14:paraId="63CE4F36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6.5536e-07</w:t>
            </w:r>
          </w:p>
        </w:tc>
      </w:tr>
      <w:tr w:rsidR="00915580" w14:paraId="11CEA1ED" w14:textId="77777777" w:rsidTr="00FA7ECA">
        <w:trPr>
          <w:jc w:val="center"/>
        </w:trPr>
        <w:tc>
          <w:tcPr>
            <w:tcW w:w="1472" w:type="dxa"/>
            <w:vAlign w:val="center"/>
          </w:tcPr>
          <w:p w14:paraId="2D52FCB8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2016" w:type="dxa"/>
            <w:vAlign w:val="center"/>
          </w:tcPr>
          <w:p w14:paraId="63B5E50D" w14:textId="6C357982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1126.4</w:t>
            </w:r>
          </w:p>
        </w:tc>
        <w:tc>
          <w:tcPr>
            <w:tcW w:w="1705" w:type="dxa"/>
            <w:vAlign w:val="center"/>
          </w:tcPr>
          <w:p w14:paraId="54210521" w14:textId="77777777" w:rsidR="00915580" w:rsidRDefault="00915580" w:rsidP="00FA7ECA">
            <w:pPr>
              <w:rPr>
                <w:lang w:val="en-US"/>
              </w:rPr>
            </w:pPr>
            <w:r>
              <w:rPr>
                <w:lang w:val="en-US"/>
              </w:rPr>
              <w:t>2.6212e-06</w:t>
            </w:r>
          </w:p>
        </w:tc>
      </w:tr>
    </w:tbl>
    <w:p w14:paraId="134A0587" w14:textId="7A3FFC7C" w:rsidR="00915580" w:rsidRDefault="00915580" w:rsidP="00BC4D21">
      <w:pPr>
        <w:rPr>
          <w:lang w:val="en-US"/>
        </w:rPr>
      </w:pPr>
    </w:p>
    <w:p w14:paraId="3349EF71" w14:textId="6CB20B2B" w:rsidR="005F72CE" w:rsidRPr="007D3B2C" w:rsidRDefault="007D3B2C" w:rsidP="00BC4D21">
      <w:pPr>
        <w:rPr>
          <w:b/>
          <w:lang w:val="en-US"/>
        </w:rPr>
      </w:pPr>
      <w:r w:rsidRPr="007D3B2C">
        <w:rPr>
          <w:b/>
          <w:lang w:val="en-US"/>
        </w:rPr>
        <w:t xml:space="preserve">Proposal 2. </w:t>
      </w:r>
      <w:r w:rsidR="008E51A3">
        <w:rPr>
          <w:b/>
          <w:lang w:val="en-US"/>
        </w:rPr>
        <w:t>To adopt frequency/time drift in Table 3 for WUS simulation</w:t>
      </w:r>
      <w:r w:rsidRPr="007D3B2C">
        <w:rPr>
          <w:b/>
          <w:lang w:val="en-US"/>
        </w:rPr>
        <w:t>.</w:t>
      </w:r>
    </w:p>
    <w:p w14:paraId="136C9DC6" w14:textId="24AA16C0" w:rsidR="00DB7689" w:rsidRDefault="00551F36" w:rsidP="00BC4D21">
      <w:pPr>
        <w:rPr>
          <w:lang w:val="en-US"/>
        </w:rPr>
      </w:pPr>
      <w:r>
        <w:rPr>
          <w:lang w:val="en-US"/>
        </w:rPr>
        <w:t xml:space="preserve">Table </w:t>
      </w:r>
      <w:r w:rsidR="00E92DD3">
        <w:rPr>
          <w:lang w:val="en-US"/>
        </w:rPr>
        <w:t>4</w:t>
      </w:r>
      <w:r>
        <w:rPr>
          <w:lang w:val="en-US"/>
        </w:rPr>
        <w:t xml:space="preserve"> </w:t>
      </w:r>
      <w:r w:rsidR="00656951">
        <w:rPr>
          <w:lang w:val="en-US"/>
        </w:rPr>
        <w:t xml:space="preserve">presents </w:t>
      </w:r>
      <w:r w:rsidR="008E51A3">
        <w:rPr>
          <w:lang w:val="en-US"/>
        </w:rPr>
        <w:t>a</w:t>
      </w:r>
      <w:r w:rsidR="00656951">
        <w:rPr>
          <w:lang w:val="en-US"/>
        </w:rPr>
        <w:t xml:space="preserve"> preliminary simulation result for </w:t>
      </w:r>
      <w:r>
        <w:rPr>
          <w:lang w:val="en-US"/>
        </w:rPr>
        <w:t>the number of WUS subframes required to reach 1% false alarm and 99% detection probability for DRX cycle of 10.24s for EPA 1Hz channel</w:t>
      </w:r>
      <w:r w:rsidR="00656951">
        <w:rPr>
          <w:lang w:val="en-US"/>
        </w:rPr>
        <w:t>, where</w:t>
      </w:r>
      <w:r>
        <w:rPr>
          <w:lang w:val="en-US"/>
        </w:rPr>
        <w:t xml:space="preserve"> </w:t>
      </w:r>
      <w:r w:rsidR="00656951">
        <w:rPr>
          <w:lang w:val="en-US"/>
        </w:rPr>
        <w:t xml:space="preserve">the </w:t>
      </w:r>
      <w:r w:rsidR="007D3B2C">
        <w:rPr>
          <w:lang w:val="en-US"/>
        </w:rPr>
        <w:t>frequency and time drifts</w:t>
      </w:r>
      <w:r w:rsidR="00656951">
        <w:rPr>
          <w:lang w:val="en-US"/>
        </w:rPr>
        <w:t xml:space="preserve"> in Table 3 is assumed</w:t>
      </w:r>
      <w:r w:rsidR="007D3B2C">
        <w:rPr>
          <w:lang w:val="en-US"/>
        </w:rPr>
        <w:t>.</w:t>
      </w:r>
      <w:r w:rsidR="00656951">
        <w:rPr>
          <w:lang w:val="en-US"/>
        </w:rPr>
        <w:t xml:space="preserve"> </w:t>
      </w:r>
      <w:proofErr w:type="spellStart"/>
      <w:r>
        <w:rPr>
          <w:lang w:val="en-US"/>
        </w:rPr>
        <w:t>Ncoh</w:t>
      </w:r>
      <w:proofErr w:type="spellEnd"/>
      <w:r>
        <w:rPr>
          <w:lang w:val="en-US"/>
        </w:rPr>
        <w:t xml:space="preserve"> represents the number of subframes used for coherent combining. When number of Tx antennas is 1, </w:t>
      </w:r>
      <w:proofErr w:type="spellStart"/>
      <w:r>
        <w:rPr>
          <w:lang w:val="en-US"/>
        </w:rPr>
        <w:t>Ncoh</w:t>
      </w:r>
      <w:proofErr w:type="spellEnd"/>
      <w:r>
        <w:rPr>
          <w:lang w:val="en-US"/>
        </w:rPr>
        <w:t xml:space="preserve"> = 2 requires half of the number of WUS subframes to reach the required performance level compared to </w:t>
      </w:r>
      <w:proofErr w:type="spellStart"/>
      <w:r>
        <w:rPr>
          <w:lang w:val="en-US"/>
        </w:rPr>
        <w:t>Ncoh</w:t>
      </w:r>
      <w:proofErr w:type="spellEnd"/>
      <w:r>
        <w:rPr>
          <w:lang w:val="en-US"/>
        </w:rPr>
        <w:t xml:space="preserve"> = 1. However, for 2 Tx antennas that delivers Tx diversity, </w:t>
      </w:r>
      <w:proofErr w:type="spellStart"/>
      <w:r>
        <w:rPr>
          <w:lang w:val="en-US"/>
        </w:rPr>
        <w:t>Ncoh</w:t>
      </w:r>
      <w:proofErr w:type="spellEnd"/>
      <w:r>
        <w:rPr>
          <w:lang w:val="en-US"/>
        </w:rPr>
        <w:t xml:space="preserve"> = 1 and 2 perform similarly. </w:t>
      </w:r>
    </w:p>
    <w:p w14:paraId="0EDBE57E" w14:textId="7B64854C" w:rsidR="001A710C" w:rsidRDefault="001A710C" w:rsidP="001A710C">
      <w:pPr>
        <w:pStyle w:val="Caption"/>
        <w:keepNext/>
        <w:jc w:val="center"/>
      </w:pPr>
      <w:r>
        <w:t xml:space="preserve">Table </w:t>
      </w:r>
      <w:r w:rsidR="00E92DD3">
        <w:t>4</w:t>
      </w:r>
      <w:r>
        <w:t xml:space="preserve"> Number of WUS subframes needed</w:t>
      </w:r>
      <w:r w:rsidR="00656951">
        <w:t xml:space="preserve"> for 1% FA/MD</w:t>
      </w:r>
      <w:r>
        <w:t xml:space="preserve"> for DRX cycle of 10.24s and EPA 1Hz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620"/>
        <w:gridCol w:w="990"/>
        <w:gridCol w:w="900"/>
      </w:tblGrid>
      <w:tr w:rsidR="001A710C" w14:paraId="6F863C68" w14:textId="77777777" w:rsidTr="001A710C">
        <w:trPr>
          <w:jc w:val="center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76CD" w14:textId="420BA6D7" w:rsidR="00DB7689" w:rsidRDefault="00DB7689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9D0B" w14:textId="77777777" w:rsidR="00DB7689" w:rsidRDefault="00DB7689">
            <w:r>
              <w:t>CINR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4A89A" w14:textId="77777777" w:rsidR="00DB7689" w:rsidRDefault="00DB7689">
            <w:proofErr w:type="spellStart"/>
            <w:r>
              <w:t>NTx</w:t>
            </w:r>
            <w:proofErr w:type="spellEnd"/>
            <w:r>
              <w:t>=1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514A8" w14:textId="77777777" w:rsidR="00DB7689" w:rsidRDefault="00DB7689">
            <w:proofErr w:type="spellStart"/>
            <w:r>
              <w:t>NTx</w:t>
            </w:r>
            <w:proofErr w:type="spellEnd"/>
            <w:r>
              <w:t>=2</w:t>
            </w:r>
          </w:p>
        </w:tc>
      </w:tr>
      <w:tr w:rsidR="001A710C" w14:paraId="2C70E8B7" w14:textId="77777777" w:rsidTr="001A710C">
        <w:trPr>
          <w:jc w:val="center"/>
        </w:trPr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857A6" w14:textId="7F01A94B" w:rsidR="00DB7689" w:rsidRDefault="00DB7689">
            <w:proofErr w:type="spellStart"/>
            <w:r>
              <w:t>Ncoh</w:t>
            </w:r>
            <w:proofErr w:type="spellEnd"/>
            <w:r>
              <w:t>=1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2425" w14:textId="77777777" w:rsidR="00DB7689" w:rsidRDefault="00DB7689">
            <w:r>
              <w:t>-6dB (EPA1)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52B2" w14:textId="77777777" w:rsidR="00DB7689" w:rsidRDefault="00DB7689">
            <w: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336E" w14:textId="77777777" w:rsidR="00DB7689" w:rsidRDefault="00DB7689">
            <w:r>
              <w:t>32</w:t>
            </w:r>
          </w:p>
        </w:tc>
      </w:tr>
      <w:tr w:rsidR="001A710C" w14:paraId="7F4AF135" w14:textId="77777777" w:rsidTr="001A710C">
        <w:trPr>
          <w:jc w:val="center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C8196" w14:textId="77777777" w:rsidR="00DB7689" w:rsidRDefault="00DB7689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40772" w14:textId="77777777" w:rsidR="00DB7689" w:rsidRDefault="00DB7689">
            <w:r>
              <w:t>-12dB (EPA1)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83DA" w14:textId="481C126E" w:rsidR="00DB7689" w:rsidRDefault="00DB7689" w:rsidP="002E1072">
            <w:r>
              <w:t>256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4E7BC" w14:textId="77777777" w:rsidR="00DB7689" w:rsidRDefault="00DB7689">
            <w:r>
              <w:t>128</w:t>
            </w:r>
          </w:p>
        </w:tc>
      </w:tr>
      <w:tr w:rsidR="001A710C" w14:paraId="4195E368" w14:textId="77777777" w:rsidTr="001A710C">
        <w:trPr>
          <w:jc w:val="center"/>
        </w:trPr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47D41" w14:textId="282FF77B" w:rsidR="00DB7689" w:rsidRDefault="00DB7689">
            <w:proofErr w:type="spellStart"/>
            <w:r>
              <w:t>Ncoh</w:t>
            </w:r>
            <w:proofErr w:type="spellEnd"/>
            <w:r>
              <w:t>=2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2252" w14:textId="77777777" w:rsidR="00DB7689" w:rsidRDefault="00DB7689">
            <w:r>
              <w:t>-6dB (EPA1)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796F" w14:textId="77777777" w:rsidR="00DB7689" w:rsidRDefault="00DB7689">
            <w: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6267" w14:textId="77777777" w:rsidR="00DB7689" w:rsidRDefault="00DB7689">
            <w:r>
              <w:t>32</w:t>
            </w:r>
          </w:p>
        </w:tc>
      </w:tr>
      <w:tr w:rsidR="001A710C" w14:paraId="71AC56EB" w14:textId="77777777" w:rsidTr="001A710C">
        <w:trPr>
          <w:jc w:val="center"/>
        </w:trPr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1EC64" w14:textId="77777777" w:rsidR="00DB7689" w:rsidRDefault="00DB7689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897A" w14:textId="77777777" w:rsidR="00DB7689" w:rsidRDefault="00DB7689">
            <w:r>
              <w:t>-12dB (EPA1)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DC4C" w14:textId="77777777" w:rsidR="00DB7689" w:rsidRDefault="00DB7689">
            <w: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1452" w14:textId="77777777" w:rsidR="00DB7689" w:rsidRDefault="00DB7689">
            <w:r>
              <w:t>128</w:t>
            </w:r>
          </w:p>
        </w:tc>
      </w:tr>
    </w:tbl>
    <w:p w14:paraId="3529ACF4" w14:textId="3A7D5AF9" w:rsidR="00986D6F" w:rsidRDefault="00551F36" w:rsidP="00BC4D21">
      <w:pPr>
        <w:rPr>
          <w:lang w:val="en-US"/>
        </w:rPr>
      </w:pPr>
      <w:r>
        <w:rPr>
          <w:lang w:val="en-US"/>
        </w:rPr>
        <w:t xml:space="preserve"> </w:t>
      </w:r>
      <w:r w:rsidR="00E60109">
        <w:rPr>
          <w:lang w:val="en-US"/>
        </w:rPr>
        <w:t xml:space="preserve"> </w:t>
      </w:r>
    </w:p>
    <w:p w14:paraId="1534997D" w14:textId="115693CC" w:rsidR="00C270EB" w:rsidRDefault="00C270EB" w:rsidP="00BC4D21">
      <w:pPr>
        <w:rPr>
          <w:b/>
          <w:lang w:val="en-US"/>
        </w:rPr>
      </w:pPr>
      <w:r>
        <w:rPr>
          <w:b/>
          <w:lang w:val="en-US"/>
        </w:rPr>
        <w:t xml:space="preserve">Observation 1. For DRX cycle of 10.24s and EPA 1Hz and 1 Tx antenna and with 1-subframe of coherent combining, 64 and 256 subframes are required to reach 1% false alarm and 99% detection probability for -6 dB and -12 dB SNR, respectively. For 2-subframe of coherent combining and 1 Tx antenna, the number of WUS subframes is reduced by half. For 2 Tx antenna, the number of WUS subframes for </w:t>
      </w:r>
      <w:proofErr w:type="gramStart"/>
      <w:r>
        <w:rPr>
          <w:b/>
          <w:lang w:val="en-US"/>
        </w:rPr>
        <w:t>-6 and -12 dB</w:t>
      </w:r>
      <w:proofErr w:type="gramEnd"/>
      <w:r>
        <w:rPr>
          <w:b/>
          <w:lang w:val="en-US"/>
        </w:rPr>
        <w:t xml:space="preserve"> SNR is 32 and 128, respectively, and not dependent on number of subframes used for coherent combining. </w:t>
      </w:r>
    </w:p>
    <w:p w14:paraId="1BFB5842" w14:textId="613C7EE7" w:rsidR="009C4CCC" w:rsidRDefault="00656951" w:rsidP="009C4CCC">
      <w:pPr>
        <w:rPr>
          <w:lang w:val="en-US"/>
        </w:rPr>
      </w:pPr>
      <w:r>
        <w:rPr>
          <w:lang w:val="en-US"/>
        </w:rPr>
        <w:t xml:space="preserve">Considering the above preliminary </w:t>
      </w:r>
      <w:proofErr w:type="spellStart"/>
      <w:r>
        <w:rPr>
          <w:lang w:val="en-US"/>
        </w:rPr>
        <w:t>simualtion</w:t>
      </w:r>
      <w:proofErr w:type="spellEnd"/>
      <w:r>
        <w:rPr>
          <w:lang w:val="en-US"/>
        </w:rPr>
        <w:t xml:space="preserve"> result,</w:t>
      </w:r>
      <w:r w:rsidR="009C4CCC">
        <w:rPr>
          <w:lang w:val="en-US"/>
        </w:rPr>
        <w:t xml:space="preserve"> we propose to </w:t>
      </w:r>
      <w:r>
        <w:rPr>
          <w:lang w:val="en-US"/>
        </w:rPr>
        <w:t xml:space="preserve">consider </w:t>
      </w:r>
      <w:r w:rsidR="009C4CCC">
        <w:rPr>
          <w:lang w:val="en-US"/>
        </w:rPr>
        <w:t xml:space="preserve">two </w:t>
      </w:r>
      <w:r>
        <w:rPr>
          <w:lang w:val="en-US"/>
        </w:rPr>
        <w:t xml:space="preserve">coherent combining options </w:t>
      </w:r>
      <w:r w:rsidR="009C4CCC">
        <w:rPr>
          <w:lang w:val="en-US"/>
        </w:rPr>
        <w:t>for WUS simulations: 1) no coherent combining, 2) up to 2-sf coherent combining.</w:t>
      </w:r>
    </w:p>
    <w:p w14:paraId="4170B5CD" w14:textId="68DD5B6D" w:rsidR="009C4CCC" w:rsidRPr="00C270EB" w:rsidRDefault="009C4CCC" w:rsidP="00BC4D21">
      <w:pPr>
        <w:rPr>
          <w:b/>
          <w:lang w:val="en-US"/>
        </w:rPr>
      </w:pPr>
      <w:r>
        <w:rPr>
          <w:b/>
          <w:lang w:val="en-US"/>
        </w:rPr>
        <w:t xml:space="preserve">Proposal 3. For NB-IoT WUS simulation assumptions, </w:t>
      </w:r>
      <w:r w:rsidR="00656951">
        <w:rPr>
          <w:b/>
          <w:lang w:val="en-US"/>
        </w:rPr>
        <w:t xml:space="preserve">consider </w:t>
      </w:r>
      <w:r>
        <w:rPr>
          <w:b/>
          <w:lang w:val="en-US"/>
        </w:rPr>
        <w:t xml:space="preserve">two </w:t>
      </w:r>
      <w:r w:rsidR="00656951">
        <w:rPr>
          <w:b/>
          <w:lang w:val="en-US"/>
        </w:rPr>
        <w:t xml:space="preserve">coherent combining </w:t>
      </w:r>
      <w:r>
        <w:rPr>
          <w:b/>
          <w:lang w:val="en-US"/>
        </w:rPr>
        <w:t>options: 1) no coherent combining, 2) up to 2-sf coherent combining.</w:t>
      </w:r>
    </w:p>
    <w:p w14:paraId="05109B46" w14:textId="3CF02521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6569168D" w14:textId="5A309AC9" w:rsidR="00656951" w:rsidRDefault="00656951" w:rsidP="00656951">
      <w:pPr>
        <w:rPr>
          <w:b/>
          <w:lang w:val="en-US"/>
        </w:rPr>
      </w:pPr>
      <w:r>
        <w:rPr>
          <w:b/>
          <w:lang w:val="en-US"/>
        </w:rPr>
        <w:t>Proposal 1. Use SNR -12 dB instead of -15 dB for the simulation assumption for the enhanced coverage in</w:t>
      </w:r>
      <w:bookmarkStart w:id="0" w:name="_GoBack"/>
      <w:bookmarkEnd w:id="0"/>
      <w:r w:rsidR="00D2631F">
        <w:rPr>
          <w:b/>
          <w:lang w:val="en-US"/>
        </w:rPr>
        <w:t xml:space="preserve"> </w:t>
      </w:r>
      <w:r>
        <w:rPr>
          <w:b/>
          <w:lang w:val="en-US"/>
        </w:rPr>
        <w:t xml:space="preserve">EPA 1Hz and ETU 1Hz. </w:t>
      </w:r>
    </w:p>
    <w:p w14:paraId="44829000" w14:textId="53B110AF" w:rsidR="008E51A3" w:rsidRDefault="008E51A3" w:rsidP="00CA4161">
      <w:pPr>
        <w:pStyle w:val="Caption"/>
        <w:keepNext/>
      </w:pPr>
      <w:r w:rsidRPr="007D3B2C">
        <w:rPr>
          <w:lang w:val="en-US"/>
        </w:rPr>
        <w:t xml:space="preserve">Proposal 2. </w:t>
      </w:r>
      <w:r>
        <w:rPr>
          <w:lang w:val="en-US"/>
        </w:rPr>
        <w:t>To adopt frequency/time drift in Table 3 for WUS simulation</w:t>
      </w:r>
      <w:r w:rsidRPr="007D3B2C" w:rsidDel="008E51A3">
        <w:rPr>
          <w:lang w:val="en-US"/>
        </w:rPr>
        <w:t xml:space="preserve"> </w:t>
      </w:r>
      <w:r>
        <w:t>Table 3 Frequency/time drifts based on carrier frequency of 2.2 GHz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016"/>
        <w:gridCol w:w="1705"/>
      </w:tblGrid>
      <w:tr w:rsidR="008E51A3" w14:paraId="29DA4F6B" w14:textId="77777777" w:rsidTr="000F5A2F">
        <w:trPr>
          <w:jc w:val="center"/>
        </w:trPr>
        <w:tc>
          <w:tcPr>
            <w:tcW w:w="1472" w:type="dxa"/>
            <w:vAlign w:val="center"/>
          </w:tcPr>
          <w:p w14:paraId="5FDB2DBC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DRX cycle (s)</w:t>
            </w:r>
          </w:p>
        </w:tc>
        <w:tc>
          <w:tcPr>
            <w:tcW w:w="2016" w:type="dxa"/>
            <w:vAlign w:val="center"/>
          </w:tcPr>
          <w:p w14:paraId="7676680D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Frequency Drift [Hz]</w:t>
            </w:r>
          </w:p>
        </w:tc>
        <w:tc>
          <w:tcPr>
            <w:tcW w:w="1705" w:type="dxa"/>
            <w:vAlign w:val="center"/>
          </w:tcPr>
          <w:p w14:paraId="3782A3FF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Timing Drift [s]</w:t>
            </w:r>
          </w:p>
        </w:tc>
      </w:tr>
      <w:tr w:rsidR="008E51A3" w14:paraId="7923EC69" w14:textId="77777777" w:rsidTr="000F5A2F">
        <w:trPr>
          <w:jc w:val="center"/>
        </w:trPr>
        <w:tc>
          <w:tcPr>
            <w:tcW w:w="1472" w:type="dxa"/>
            <w:vAlign w:val="center"/>
          </w:tcPr>
          <w:p w14:paraId="37259749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2016" w:type="dxa"/>
            <w:vAlign w:val="center"/>
          </w:tcPr>
          <w:p w14:paraId="38299613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140.8</w:t>
            </w:r>
          </w:p>
        </w:tc>
        <w:tc>
          <w:tcPr>
            <w:tcW w:w="1705" w:type="dxa"/>
            <w:vAlign w:val="center"/>
          </w:tcPr>
          <w:p w14:paraId="2E6F267A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4.0960e-08</w:t>
            </w:r>
          </w:p>
        </w:tc>
      </w:tr>
      <w:tr w:rsidR="008E51A3" w14:paraId="2284AEAB" w14:textId="77777777" w:rsidTr="000F5A2F">
        <w:trPr>
          <w:jc w:val="center"/>
        </w:trPr>
        <w:tc>
          <w:tcPr>
            <w:tcW w:w="1472" w:type="dxa"/>
            <w:vAlign w:val="center"/>
          </w:tcPr>
          <w:p w14:paraId="72316D08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2016" w:type="dxa"/>
            <w:vAlign w:val="center"/>
          </w:tcPr>
          <w:p w14:paraId="6D30B388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281.6</w:t>
            </w:r>
          </w:p>
        </w:tc>
        <w:tc>
          <w:tcPr>
            <w:tcW w:w="1705" w:type="dxa"/>
            <w:vAlign w:val="center"/>
          </w:tcPr>
          <w:p w14:paraId="00644A57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1.6348e-07</w:t>
            </w:r>
          </w:p>
        </w:tc>
      </w:tr>
      <w:tr w:rsidR="008E51A3" w14:paraId="273A099A" w14:textId="77777777" w:rsidTr="000F5A2F">
        <w:trPr>
          <w:jc w:val="center"/>
        </w:trPr>
        <w:tc>
          <w:tcPr>
            <w:tcW w:w="1472" w:type="dxa"/>
            <w:vAlign w:val="center"/>
          </w:tcPr>
          <w:p w14:paraId="572D9F67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2016" w:type="dxa"/>
            <w:vAlign w:val="center"/>
          </w:tcPr>
          <w:p w14:paraId="0C490D02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563.2</w:t>
            </w:r>
          </w:p>
        </w:tc>
        <w:tc>
          <w:tcPr>
            <w:tcW w:w="1705" w:type="dxa"/>
            <w:vAlign w:val="center"/>
          </w:tcPr>
          <w:p w14:paraId="6984D05A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6.5536e-07</w:t>
            </w:r>
          </w:p>
        </w:tc>
      </w:tr>
      <w:tr w:rsidR="008E51A3" w14:paraId="7E073C1A" w14:textId="77777777" w:rsidTr="000F5A2F">
        <w:trPr>
          <w:jc w:val="center"/>
        </w:trPr>
        <w:tc>
          <w:tcPr>
            <w:tcW w:w="1472" w:type="dxa"/>
            <w:vAlign w:val="center"/>
          </w:tcPr>
          <w:p w14:paraId="788F2AEA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2016" w:type="dxa"/>
            <w:vAlign w:val="center"/>
          </w:tcPr>
          <w:p w14:paraId="276E4846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1126.4</w:t>
            </w:r>
          </w:p>
        </w:tc>
        <w:tc>
          <w:tcPr>
            <w:tcW w:w="1705" w:type="dxa"/>
            <w:vAlign w:val="center"/>
          </w:tcPr>
          <w:p w14:paraId="4CD7633F" w14:textId="77777777" w:rsidR="008E51A3" w:rsidRDefault="008E51A3" w:rsidP="000F5A2F">
            <w:pPr>
              <w:rPr>
                <w:lang w:val="en-US"/>
              </w:rPr>
            </w:pPr>
            <w:r>
              <w:rPr>
                <w:lang w:val="en-US"/>
              </w:rPr>
              <w:t>2.6212e-06</w:t>
            </w:r>
          </w:p>
        </w:tc>
      </w:tr>
    </w:tbl>
    <w:p w14:paraId="4E524088" w14:textId="77777777" w:rsidR="008E51A3" w:rsidRDefault="008E51A3" w:rsidP="002E1072">
      <w:pPr>
        <w:rPr>
          <w:b/>
          <w:lang w:val="en-US"/>
        </w:rPr>
      </w:pPr>
    </w:p>
    <w:p w14:paraId="4C1E1E4D" w14:textId="77777777" w:rsidR="002E1072" w:rsidRPr="00C270EB" w:rsidRDefault="002E1072" w:rsidP="002E1072">
      <w:pPr>
        <w:rPr>
          <w:b/>
          <w:lang w:val="en-US"/>
        </w:rPr>
      </w:pPr>
      <w:r>
        <w:rPr>
          <w:b/>
          <w:lang w:val="en-US"/>
        </w:rPr>
        <w:t xml:space="preserve">Observation 1. For DRX cycle of 10.24s and EPA 1Hz and 1 Tx antenna and with 1-subframe of coherent combining, 64 and 256 subframes are required to reach 1% false alarm and 99% detection probability for -6 dB and -12 dB SNR, respectively. For 2-subframe of coherent combining and 1 Tx antenna, the number of WUS subframes is reduced by half. For 2 Tx antenna, the number of WUS subframes for </w:t>
      </w:r>
      <w:proofErr w:type="gramStart"/>
      <w:r>
        <w:rPr>
          <w:b/>
          <w:lang w:val="en-US"/>
        </w:rPr>
        <w:t>-6 and -12 dB</w:t>
      </w:r>
      <w:proofErr w:type="gramEnd"/>
      <w:r>
        <w:rPr>
          <w:b/>
          <w:lang w:val="en-US"/>
        </w:rPr>
        <w:t xml:space="preserve"> SNR is 32 and 128, respectively, and not dependent on number of subframes used for coherent combining. </w:t>
      </w:r>
    </w:p>
    <w:p w14:paraId="0A4BC20C" w14:textId="77777777" w:rsidR="00656951" w:rsidRPr="00C270EB" w:rsidRDefault="00656951" w:rsidP="00656951">
      <w:pPr>
        <w:rPr>
          <w:b/>
          <w:lang w:val="en-US"/>
        </w:rPr>
      </w:pPr>
      <w:r>
        <w:rPr>
          <w:b/>
          <w:lang w:val="en-US"/>
        </w:rPr>
        <w:t>Proposal 3. For NB-IoT WUS simulation assumptions, consider two coherent combining options: 1) no coherent combining, 2) up to 2-sf coherent combining.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74F8CB1" w14:textId="3325158B" w:rsidR="00656951" w:rsidRDefault="00656951" w:rsidP="00656951">
      <w:r>
        <w:t xml:space="preserve">[1] </w:t>
      </w:r>
      <w:r w:rsidRPr="00656951">
        <w:t>R4-1811691</w:t>
      </w:r>
    </w:p>
    <w:p w14:paraId="350E431A" w14:textId="3D7EED5B" w:rsidR="00690DA5" w:rsidRDefault="00690DA5" w:rsidP="00797CE5">
      <w:r>
        <w:rPr>
          <w:lang w:val="en-US"/>
        </w:rPr>
        <w:t>[</w:t>
      </w:r>
      <w:r w:rsidR="00656951">
        <w:rPr>
          <w:lang w:val="en-US"/>
        </w:rPr>
        <w:t>2</w:t>
      </w:r>
      <w:r>
        <w:rPr>
          <w:lang w:val="en-US"/>
        </w:rPr>
        <w:t xml:space="preserve">] </w:t>
      </w:r>
      <w:r w:rsidR="008321ED" w:rsidRPr="008321ED">
        <w:t>R4-</w:t>
      </w:r>
      <w:r w:rsidR="0021052E">
        <w:t>181403</w:t>
      </w:r>
      <w:r w:rsidR="00E60109">
        <w:t>1</w:t>
      </w:r>
    </w:p>
    <w:p w14:paraId="6EBF3CEA" w14:textId="496499DE" w:rsidR="00C000A8" w:rsidRDefault="00C3357F" w:rsidP="00797CE5">
      <w:r>
        <w:t>[</w:t>
      </w:r>
      <w:r w:rsidR="00656951">
        <w:t>3</w:t>
      </w:r>
      <w:r>
        <w:t>] R1-1714993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DE7E6" w14:textId="77777777" w:rsidR="00E77C67" w:rsidRDefault="00E77C67">
      <w:r>
        <w:separator/>
      </w:r>
    </w:p>
  </w:endnote>
  <w:endnote w:type="continuationSeparator" w:id="0">
    <w:p w14:paraId="45244928" w14:textId="77777777" w:rsidR="00E77C67" w:rsidRDefault="00E7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970690" w:rsidRDefault="00970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970690" w:rsidRDefault="00970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970690" w:rsidRDefault="009706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3B7D0" w14:textId="77777777" w:rsidR="00E77C67" w:rsidRDefault="00E77C67">
      <w:r>
        <w:separator/>
      </w:r>
    </w:p>
  </w:footnote>
  <w:footnote w:type="continuationSeparator" w:id="0">
    <w:p w14:paraId="3A96A105" w14:textId="77777777" w:rsidR="00E77C67" w:rsidRDefault="00E77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426"/>
        </w:tabs>
        <w:ind w:left="64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56856"/>
    <w:multiLevelType w:val="hybridMultilevel"/>
    <w:tmpl w:val="2640F27A"/>
    <w:lvl w:ilvl="0" w:tplc="CF907A4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2"/>
  </w:num>
  <w:num w:numId="4">
    <w:abstractNumId w:val="10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6"/>
  </w:num>
  <w:num w:numId="9">
    <w:abstractNumId w:val="17"/>
  </w:num>
  <w:num w:numId="10">
    <w:abstractNumId w:val="15"/>
  </w:num>
  <w:num w:numId="11">
    <w:abstractNumId w:val="35"/>
  </w:num>
  <w:num w:numId="12">
    <w:abstractNumId w:val="21"/>
  </w:num>
  <w:num w:numId="13">
    <w:abstractNumId w:val="27"/>
  </w:num>
  <w:num w:numId="14">
    <w:abstractNumId w:val="19"/>
  </w:num>
  <w:num w:numId="15">
    <w:abstractNumId w:val="36"/>
  </w:num>
  <w:num w:numId="16">
    <w:abstractNumId w:val="31"/>
  </w:num>
  <w:num w:numId="17">
    <w:abstractNumId w:val="29"/>
  </w:num>
  <w:num w:numId="18">
    <w:abstractNumId w:val="11"/>
  </w:num>
  <w:num w:numId="19">
    <w:abstractNumId w:val="22"/>
  </w:num>
  <w:num w:numId="20">
    <w:abstractNumId w:val="3"/>
  </w:num>
  <w:num w:numId="21">
    <w:abstractNumId w:val="25"/>
  </w:num>
  <w:num w:numId="22">
    <w:abstractNumId w:val="0"/>
  </w:num>
  <w:num w:numId="23">
    <w:abstractNumId w:val="23"/>
  </w:num>
  <w:num w:numId="24">
    <w:abstractNumId w:val="20"/>
  </w:num>
  <w:num w:numId="25">
    <w:abstractNumId w:val="7"/>
  </w:num>
  <w:num w:numId="26">
    <w:abstractNumId w:val="24"/>
  </w:num>
  <w:num w:numId="27">
    <w:abstractNumId w:val="8"/>
  </w:num>
  <w:num w:numId="28">
    <w:abstractNumId w:val="6"/>
  </w:num>
  <w:num w:numId="29">
    <w:abstractNumId w:val="12"/>
  </w:num>
  <w:num w:numId="30">
    <w:abstractNumId w:val="14"/>
  </w:num>
  <w:num w:numId="31">
    <w:abstractNumId w:val="4"/>
  </w:num>
  <w:num w:numId="32">
    <w:abstractNumId w:val="33"/>
  </w:num>
  <w:num w:numId="33">
    <w:abstractNumId w:val="5"/>
  </w:num>
  <w:num w:numId="34">
    <w:abstractNumId w:val="13"/>
  </w:num>
  <w:num w:numId="35">
    <w:abstractNumId w:val="34"/>
  </w:num>
  <w:num w:numId="36">
    <w:abstractNumId w:val="9"/>
  </w:num>
  <w:num w:numId="37">
    <w:abstractNumId w:val="15"/>
  </w:num>
  <w:num w:numId="38">
    <w:abstractNumId w:val="15"/>
  </w:num>
  <w:num w:numId="3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85D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B06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9E4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5BF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10C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CFC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52E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072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E7A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62A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DCF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C46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3513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AB0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36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0B1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13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774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297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882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5CF"/>
    <w:rsid w:val="005D0C2B"/>
    <w:rsid w:val="005D0DC6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2CE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BDC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0F66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951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0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28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211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57A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67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2C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AF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1ED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D5F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A3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AC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80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69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690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332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7F1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D6F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80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CB6"/>
    <w:rsid w:val="009C2D78"/>
    <w:rsid w:val="009C31BA"/>
    <w:rsid w:val="009C31C0"/>
    <w:rsid w:val="009C3935"/>
    <w:rsid w:val="009C4176"/>
    <w:rsid w:val="009C4C9C"/>
    <w:rsid w:val="009C4CC8"/>
    <w:rsid w:val="009C4CCC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135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13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102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30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D28"/>
    <w:rsid w:val="00BB0E3E"/>
    <w:rsid w:val="00BB102D"/>
    <w:rsid w:val="00BB12E8"/>
    <w:rsid w:val="00BB1427"/>
    <w:rsid w:val="00BB1770"/>
    <w:rsid w:val="00BB17F6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4D21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335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8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A8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5818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2B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0EB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57F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46C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F87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39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61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1F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6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1E03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2AC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689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6AF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1C9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109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C67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DD3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22D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611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62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56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06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2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6426"/>
        <w:tab w:val="num" w:pos="8226"/>
      </w:tabs>
      <w:spacing w:before="180"/>
      <w:ind w:left="822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117E-4073-4D7C-8184-479F960B8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6</cp:revision>
  <cp:lastPrinted>2009-04-22T21:01:00Z</cp:lastPrinted>
  <dcterms:created xsi:type="dcterms:W3CDTF">2018-11-02T15:15:00Z</dcterms:created>
  <dcterms:modified xsi:type="dcterms:W3CDTF">2018-11-02T21:13:00Z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